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snapToGrid w:val="0"/>
        <w:jc w:val="center"/>
        <w:textAlignment w:val="center"/>
        <w:rPr>
          <w:rFonts w:ascii="楷体" w:eastAsia="楷体" w:cs="楷体" w:hAnsi="楷体" w:hint="eastAsia"/>
          <w:b w:val="0"/>
          <w:bCs/>
          <w:i w:val="0"/>
          <w:iCs w:val="0"/>
          <w:kern w:val="0"/>
          <w:sz w:val="32"/>
          <w:szCs w:val="32"/>
          <w:lang w:eastAsia="zh-CN"/>
        </w:rPr>
      </w:pPr>
      <w:bookmarkStart w:id="0" w:name="_GoBack"/>
      <w:bookmarkEnd w:id="0"/>
    </w:p>
    <w:tbl>
      <w:tblPr>
        <w:jc w:val="center"/>
        <w:tblW w:w="14055"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00"/>
        <w:gridCol w:w="4125"/>
        <w:gridCol w:w="5004"/>
        <w:gridCol w:w="4026"/>
      </w:tblGrid>
      <w:tr>
        <w:trPr>
          <w:trHeight w:val="699"/>
          <w:tblHeader/>
        </w:trPr>
        <w:tc>
          <w:tcPr>
            <w:tcW w:w="900" w:type="dxa"/>
            <w:tcBorders>
              <w:top w:val="single" w:sz="4" w:space="0" w:color="000000"/>
              <w:left w:val="single" w:sz="4" w:space="0" w:color="000000"/>
              <w:bottom w:val="single" w:sz="4" w:space="0" w:color="000000"/>
              <w:right w:val="single" w:sz="4" w:space="0" w:color="000000"/>
            </w:tcBorders>
            <w:vAlign w:val="center"/>
          </w:tcPr>
          <w:p>
            <w:pPr>
              <w:widowControl/>
              <w:snapToGrid w:val="0"/>
              <w:jc w:val="center"/>
              <w:textAlignment w:val="center"/>
              <w:rPr>
                <w:rFonts w:ascii="宋体" w:cs="宋体" w:hAnsi="宋体" w:hint="eastAsia"/>
                <w:b/>
                <w:sz w:val="24"/>
              </w:rPr>
            </w:pPr>
            <w:r>
              <w:rPr>
                <w:rFonts w:ascii="宋体" w:cs="宋体" w:hAnsi="宋体" w:hint="eastAsia"/>
                <w:b/>
                <w:kern w:val="0"/>
                <w:sz w:val="24"/>
              </w:rPr>
              <w:t>序号</w:t>
            </w:r>
          </w:p>
        </w:tc>
        <w:tc>
          <w:tcPr>
            <w:tcW w:w="4125" w:type="dxa"/>
            <w:tcBorders>
              <w:top w:val="single" w:sz="4" w:space="0" w:color="000000"/>
              <w:left w:val="single" w:sz="4" w:space="0" w:color="000000"/>
              <w:bottom w:val="single" w:sz="4" w:space="0" w:color="000000"/>
              <w:right w:val="single" w:sz="4" w:space="0" w:color="000000"/>
            </w:tcBorders>
            <w:vAlign w:val="center"/>
          </w:tcPr>
          <w:p>
            <w:pPr>
              <w:widowControl/>
              <w:snapToGrid w:val="0"/>
              <w:jc w:val="center"/>
              <w:textAlignment w:val="center"/>
              <w:rPr>
                <w:rFonts w:ascii="宋体" w:cs="宋体" w:hAnsi="宋体" w:hint="eastAsia"/>
                <w:b/>
                <w:sz w:val="24"/>
              </w:rPr>
            </w:pPr>
            <w:r>
              <w:rPr>
                <w:rFonts w:ascii="宋体" w:cs="宋体" w:hAnsi="宋体" w:hint="eastAsia"/>
                <w:b/>
                <w:kern w:val="0"/>
                <w:sz w:val="24"/>
              </w:rPr>
              <w:t>企业名称</w:t>
            </w:r>
          </w:p>
        </w:tc>
        <w:tc>
          <w:tcPr>
            <w:tcW w:w="5004" w:type="dxa"/>
            <w:tcBorders>
              <w:top w:val="single" w:sz="4" w:space="0" w:color="000000"/>
              <w:left w:val="single" w:sz="4" w:space="0" w:color="000000"/>
              <w:bottom w:val="single" w:sz="4" w:space="0" w:color="000000"/>
              <w:right w:val="single" w:sz="4" w:space="0" w:color="000000"/>
            </w:tcBorders>
            <w:vAlign w:val="center"/>
          </w:tcPr>
          <w:p>
            <w:pPr>
              <w:widowControl/>
              <w:snapToGrid w:val="0"/>
              <w:jc w:val="center"/>
              <w:textAlignment w:val="center"/>
              <w:rPr>
                <w:rFonts w:ascii="宋体" w:cs="宋体" w:hAnsi="宋体" w:hint="eastAsia"/>
                <w:b/>
                <w:sz w:val="24"/>
              </w:rPr>
            </w:pPr>
            <w:r>
              <w:rPr>
                <w:rFonts w:ascii="宋体" w:cs="宋体" w:hAnsi="宋体" w:hint="eastAsia"/>
                <w:b/>
                <w:kern w:val="0"/>
                <w:sz w:val="24"/>
              </w:rPr>
              <w:t>申请事项</w:t>
            </w:r>
          </w:p>
        </w:tc>
        <w:tc>
          <w:tcPr>
            <w:tcW w:w="4026" w:type="dxa"/>
            <w:tcBorders>
              <w:top w:val="single" w:sz="4" w:space="0" w:color="000000"/>
              <w:left w:val="single" w:sz="4" w:space="0" w:color="000000"/>
              <w:bottom w:val="single" w:sz="4" w:space="0" w:color="000000"/>
              <w:right w:val="single" w:sz="4" w:space="0" w:color="000000"/>
            </w:tcBorders>
            <w:vAlign w:val="center"/>
          </w:tcPr>
          <w:p>
            <w:pPr>
              <w:widowControl/>
              <w:snapToGrid w:val="0"/>
              <w:jc w:val="center"/>
              <w:textAlignment w:val="center"/>
              <w:rPr>
                <w:rFonts w:ascii="宋体" w:cs="宋体" w:hAnsi="宋体" w:hint="eastAsia"/>
                <w:b/>
                <w:kern w:val="0"/>
                <w:sz w:val="24"/>
              </w:rPr>
            </w:pPr>
            <w:r>
              <w:rPr>
                <w:rFonts w:ascii="宋体" w:cs="宋体" w:hAnsi="宋体" w:hint="eastAsia"/>
                <w:b/>
                <w:kern w:val="0"/>
                <w:sz w:val="24"/>
              </w:rPr>
              <w:t>审查结果</w:t>
            </w:r>
          </w:p>
        </w:tc>
      </w:tr>
      <w:tr>
        <w:trPr>
          <w:trHeight w:val="2218"/>
        </w:trPr>
        <w:tc>
          <w:tcPr>
            <w:tcW w:w="900" w:type="dxa"/>
            <w:tcBorders>
              <w:top w:val="single" w:sz="4" w:space="0" w:color="000000"/>
              <w:left w:val="single" w:sz="4" w:space="0" w:color="000000"/>
              <w:bottom w:val="single" w:sz="4" w:space="0" w:color="000000"/>
              <w:right w:val="single" w:sz="4" w:space="0" w:color="000000"/>
            </w:tcBorders>
            <w:vAlign w:val="center"/>
          </w:tcPr>
          <w:p>
            <w:pPr>
              <w:widowControl/>
              <w:numPr>
                <w:ilvl w:val="0"/>
                <w:numId w:val="1"/>
              </w:numPr>
              <w:snapToGrid w:val="0"/>
              <w:ind w:left="0" w:firstLine="0"/>
              <w:jc w:val="center"/>
              <w:textAlignment w:val="center"/>
              <w:rPr>
                <w:rFonts w:ascii="仿宋_GB2312" w:eastAsia="仿宋_GB2312" w:cs="仿宋_GB2312" w:hAnsi="仿宋_GB2312" w:hint="eastAsia"/>
                <w:bCs/>
                <w:color w:val="000000"/>
                <w:sz w:val="24"/>
                <w:szCs w:val="24"/>
              </w:rPr>
            </w:pPr>
          </w:p>
        </w:tc>
        <w:tc>
          <w:tcPr>
            <w:tcW w:w="4125"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sz w:val="24"/>
                <w:szCs w:val="24"/>
              </w:rPr>
            </w:pPr>
            <w:r>
              <w:rPr>
                <w:rFonts w:ascii="仿宋_GB2312" w:eastAsia="仿宋_GB2312" w:cs="仿宋_GB2312" w:hAnsi="仿宋_GB2312" w:hint="eastAsia"/>
                <w:bCs/>
                <w:color w:val="000000"/>
                <w:sz w:val="24"/>
                <w:szCs w:val="24"/>
                <w:lang w:val="en-US" w:eastAsia="zh-CN"/>
              </w:rPr>
              <w:t>辽宁恒旺建设工程有限公司</w:t>
            </w:r>
          </w:p>
        </w:tc>
        <w:tc>
          <w:tcPr>
            <w:tcW w:w="5004"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sz w:val="24"/>
                <w:szCs w:val="24"/>
              </w:rPr>
            </w:pPr>
            <w:r>
              <w:rPr>
                <w:rFonts w:ascii="仿宋_GB2312" w:eastAsia="仿宋_GB2312" w:cs="仿宋_GB2312" w:hAnsi="仿宋_GB2312" w:hint="eastAsia"/>
                <w:bCs/>
                <w:color w:val="000000"/>
                <w:sz w:val="24"/>
                <w:szCs w:val="24"/>
              </w:rPr>
              <w:t>建筑业企业资质认定（总承包特级、一级及部分专业一级除外）-资质升级-水利水电工程施工总承包二级</w:t>
            </w:r>
          </w:p>
        </w:tc>
        <w:tc>
          <w:tcPr>
            <w:tcW w:w="4026"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kern w:val="0"/>
                <w:sz w:val="24"/>
                <w:szCs w:val="24"/>
                <w:lang w:eastAsia="zh-CN"/>
              </w:rPr>
            </w:pPr>
            <w:r>
              <w:rPr>
                <w:rFonts w:ascii="仿宋_GB2312" w:eastAsia="仿宋_GB2312" w:cs="仿宋_GB2312" w:hAnsi="仿宋_GB2312" w:hint="eastAsia"/>
                <w:bCs/>
                <w:color w:val="000000"/>
                <w:kern w:val="0"/>
                <w:sz w:val="24"/>
                <w:szCs w:val="24"/>
                <w:lang w:eastAsia="zh-CN"/>
              </w:rPr>
              <w:t>符合资质要求。</w:t>
            </w:r>
          </w:p>
        </w:tc>
      </w:tr>
      <w:tr>
        <w:trPr>
          <w:trHeight w:val="2826"/>
        </w:trPr>
        <w:tc>
          <w:tcPr>
            <w:tcW w:w="900" w:type="dxa"/>
            <w:tcBorders>
              <w:top w:val="single" w:sz="4" w:space="0" w:color="000000"/>
              <w:left w:val="single" w:sz="4" w:space="0" w:color="000000"/>
              <w:bottom w:val="single" w:sz="4" w:space="0" w:color="000000"/>
              <w:right w:val="single" w:sz="4" w:space="0" w:color="000000"/>
            </w:tcBorders>
            <w:vAlign w:val="center"/>
          </w:tcPr>
          <w:p>
            <w:pPr>
              <w:widowControl/>
              <w:numPr>
                <w:ilvl w:val="0"/>
                <w:numId w:val="1"/>
              </w:numPr>
              <w:snapToGrid w:val="0"/>
              <w:ind w:left="0" w:firstLine="0"/>
              <w:jc w:val="center"/>
              <w:textAlignment w:val="center"/>
              <w:rPr>
                <w:rFonts w:ascii="仿宋_GB2312" w:eastAsia="仿宋_GB2312" w:cs="仿宋_GB2312" w:hAnsi="仿宋_GB2312" w:hint="eastAsia"/>
                <w:bCs/>
                <w:color w:val="000000"/>
                <w:sz w:val="24"/>
                <w:szCs w:val="24"/>
              </w:rPr>
            </w:pPr>
          </w:p>
        </w:tc>
        <w:tc>
          <w:tcPr>
            <w:tcW w:w="4125"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sz w:val="24"/>
                <w:szCs w:val="24"/>
              </w:rPr>
            </w:pPr>
            <w:r>
              <w:rPr>
                <w:rFonts w:ascii="仿宋_GB2312" w:eastAsia="仿宋_GB2312" w:cs="仿宋_GB2312" w:hAnsi="仿宋_GB2312" w:hint="eastAsia"/>
                <w:bCs/>
                <w:color w:val="000000"/>
                <w:sz w:val="24"/>
                <w:szCs w:val="24"/>
              </w:rPr>
              <w:fldChar w:fldCharType="begin"/>
            </w:r>
            <w:r>
              <w:instrText>HYPERLINK "https://59.197.161.2/hz_aeaa/todo/more_manage?parentlink=304B9AA0-7B24-4CA0-B4C8-1A81DBB1E6C2&amp;sonlink=B23D966E-8075-4F9A-A154-1AFF5539C047&amp;page.currentPage=4&amp;page.showCount=10"</w:instrText>
            </w:r>
            <w:r>
              <w:rPr>
                <w:rFonts w:ascii="仿宋_GB2312" w:eastAsia="仿宋_GB2312" w:cs="仿宋_GB2312" w:hAnsi="仿宋_GB2312" w:hint="eastAsia"/>
                <w:bCs/>
                <w:color w:val="000000"/>
                <w:sz w:val="24"/>
                <w:szCs w:val="24"/>
              </w:rPr>
              <w:fldChar w:fldCharType="separate"/>
            </w:r>
            <w:r>
              <w:rPr>
                <w:rFonts w:ascii="仿宋_GB2312" w:eastAsia="仿宋_GB2312" w:cs="仿宋_GB2312" w:hAnsi="仿宋_GB2312" w:hint="eastAsia"/>
                <w:bCs/>
                <w:color w:val="000000"/>
                <w:sz w:val="24"/>
                <w:szCs w:val="24"/>
              </w:rPr>
              <w:t>葫芦岛市利源水利建设工程有限公司</w:t>
            </w:r>
            <w:r>
              <w:rPr>
                <w:rFonts w:ascii="仿宋_GB2312" w:eastAsia="仿宋_GB2312" w:cs="仿宋_GB2312" w:hAnsi="仿宋_GB2312" w:hint="eastAsia"/>
                <w:bCs/>
                <w:color w:val="000000"/>
                <w:sz w:val="24"/>
                <w:szCs w:val="24"/>
              </w:rPr>
              <w:fldChar w:fldCharType="end"/>
            </w:r>
            <w:r>
              <w:rPr>
                <w:rFonts w:ascii="仿宋_GB2312" w:eastAsia="仿宋_GB2312" w:cs="仿宋_GB2312" w:hAnsi="仿宋_GB2312" w:hint="eastAsia"/>
                <w:bCs/>
                <w:color w:val="000000"/>
                <w:sz w:val="24"/>
                <w:szCs w:val="24"/>
              </w:rPr>
              <w:t xml:space="preserve"> </w:t>
            </w:r>
          </w:p>
        </w:tc>
        <w:tc>
          <w:tcPr>
            <w:tcW w:w="5004"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sz w:val="24"/>
                <w:szCs w:val="24"/>
              </w:rPr>
            </w:pPr>
            <w:r>
              <w:rPr>
                <w:rFonts w:ascii="仿宋_GB2312" w:eastAsia="仿宋_GB2312" w:cs="仿宋_GB2312" w:hAnsi="仿宋_GB2312" w:hint="eastAsia"/>
                <w:bCs/>
                <w:color w:val="000000"/>
                <w:sz w:val="24"/>
                <w:szCs w:val="24"/>
              </w:rPr>
              <w:t>建筑业企业资质认定（总承包特级、一级及部分专业一级除外）-资质升级-水利水电工程施工总承包二级</w:t>
            </w:r>
          </w:p>
        </w:tc>
        <w:tc>
          <w:tcPr>
            <w:tcW w:w="4026"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kern w:val="0"/>
                <w:sz w:val="24"/>
                <w:szCs w:val="24"/>
              </w:rPr>
            </w:pPr>
            <w:r>
              <w:rPr>
                <w:rFonts w:ascii="仿宋_GB2312" w:eastAsia="仿宋_GB2312" w:cs="仿宋_GB2312" w:hAnsi="仿宋_GB2312" w:hint="eastAsia"/>
                <w:bCs/>
                <w:color w:val="000000"/>
                <w:kern w:val="0"/>
                <w:sz w:val="24"/>
                <w:szCs w:val="24"/>
                <w:lang w:val="en-US" w:eastAsia="zh-CN"/>
              </w:rPr>
              <w:t>李某佳社保因有多个账号校核未通过，不符合资质要求。</w:t>
            </w:r>
          </w:p>
        </w:tc>
      </w:tr>
      <w:tr>
        <w:trPr>
          <w:trHeight w:val="2417"/>
        </w:trPr>
        <w:tc>
          <w:tcPr>
            <w:tcW w:w="900" w:type="dxa"/>
            <w:tcBorders>
              <w:top w:val="single" w:sz="4" w:space="0" w:color="000000"/>
              <w:left w:val="single" w:sz="4" w:space="0" w:color="000000"/>
              <w:bottom w:val="single" w:sz="4" w:space="0" w:color="000000"/>
              <w:right w:val="single" w:sz="4" w:space="0" w:color="000000"/>
            </w:tcBorders>
            <w:vAlign w:val="center"/>
          </w:tcPr>
          <w:p>
            <w:pPr>
              <w:widowControl/>
              <w:numPr>
                <w:ilvl w:val="0"/>
                <w:numId w:val="1"/>
              </w:numPr>
              <w:snapToGrid w:val="0"/>
              <w:ind w:left="0" w:firstLine="0"/>
              <w:jc w:val="center"/>
              <w:textAlignment w:val="center"/>
              <w:rPr>
                <w:rFonts w:ascii="仿宋_GB2312" w:eastAsia="仿宋_GB2312" w:cs="仿宋_GB2312" w:hAnsi="仿宋_GB2312" w:hint="eastAsia"/>
                <w:bCs/>
                <w:color w:val="000000"/>
                <w:sz w:val="24"/>
                <w:szCs w:val="24"/>
              </w:rPr>
            </w:pPr>
          </w:p>
        </w:tc>
        <w:tc>
          <w:tcPr>
            <w:tcW w:w="4125"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sz w:val="24"/>
                <w:szCs w:val="24"/>
              </w:rPr>
            </w:pPr>
            <w:r>
              <w:rPr>
                <w:rFonts w:ascii="仿宋_GB2312" w:eastAsia="仿宋_GB2312" w:cs="仿宋_GB2312" w:hAnsi="仿宋_GB2312" w:hint="eastAsia"/>
                <w:bCs/>
                <w:color w:val="000000"/>
                <w:sz w:val="24"/>
                <w:szCs w:val="24"/>
              </w:rPr>
              <w:fldChar w:fldCharType="begin"/>
            </w:r>
            <w:r>
              <w:instrText>HYPERLINK "https://59.197.161.2/hz_aeaa/todo/more_manage?parentlink=304B9AA0-7B24-4CA0-B4C8-1A81DBB1E6C2&amp;sonlink=B23D966E-8075-4F9A-A154-1AFF5539C047&amp;page.currentPage=4&amp;page.showCount=10"</w:instrText>
            </w:r>
            <w:r>
              <w:rPr>
                <w:rFonts w:ascii="仿宋_GB2312" w:eastAsia="仿宋_GB2312" w:cs="仿宋_GB2312" w:hAnsi="仿宋_GB2312" w:hint="eastAsia"/>
                <w:bCs/>
                <w:color w:val="000000"/>
                <w:sz w:val="24"/>
                <w:szCs w:val="24"/>
              </w:rPr>
              <w:fldChar w:fldCharType="separate"/>
            </w:r>
            <w:r>
              <w:rPr>
                <w:rFonts w:ascii="仿宋_GB2312" w:eastAsia="仿宋_GB2312" w:cs="仿宋_GB2312" w:hAnsi="仿宋_GB2312" w:hint="eastAsia"/>
                <w:bCs/>
                <w:color w:val="000000"/>
                <w:sz w:val="24"/>
                <w:szCs w:val="24"/>
              </w:rPr>
              <w:t>葫芦岛市金岛建设有限责任公司</w:t>
            </w:r>
            <w:r>
              <w:rPr>
                <w:rFonts w:ascii="仿宋_GB2312" w:eastAsia="仿宋_GB2312" w:cs="仿宋_GB2312" w:hAnsi="仿宋_GB2312" w:hint="eastAsia"/>
                <w:bCs/>
                <w:color w:val="000000"/>
                <w:sz w:val="24"/>
                <w:szCs w:val="24"/>
              </w:rPr>
              <w:fldChar w:fldCharType="end"/>
            </w:r>
          </w:p>
        </w:tc>
        <w:tc>
          <w:tcPr>
            <w:tcW w:w="5004"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sz w:val="24"/>
                <w:szCs w:val="24"/>
              </w:rPr>
            </w:pPr>
            <w:r>
              <w:rPr>
                <w:rFonts w:ascii="仿宋_GB2312" w:eastAsia="仿宋_GB2312" w:cs="仿宋_GB2312" w:hAnsi="仿宋_GB2312" w:hint="eastAsia"/>
                <w:bCs/>
                <w:color w:val="000000"/>
                <w:sz w:val="24"/>
                <w:szCs w:val="24"/>
              </w:rPr>
              <w:t>建筑业企业资质认定（总承包特级、一级及部分专业一级除外）-资质升级-水利水电工程施工总承包二级</w:t>
            </w:r>
          </w:p>
        </w:tc>
        <w:tc>
          <w:tcPr>
            <w:tcW w:w="4026"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kern w:val="0"/>
                <w:sz w:val="24"/>
                <w:szCs w:val="24"/>
                <w:lang w:eastAsia="zh-CN"/>
              </w:rPr>
            </w:pPr>
            <w:r>
              <w:rPr>
                <w:rFonts w:ascii="仿宋_GB2312" w:eastAsia="仿宋_GB2312" w:cs="仿宋_GB2312" w:hAnsi="仿宋_GB2312" w:hint="eastAsia"/>
                <w:bCs/>
                <w:color w:val="000000"/>
                <w:kern w:val="0"/>
                <w:sz w:val="24"/>
                <w:szCs w:val="24"/>
                <w:lang w:val="en-US" w:eastAsia="zh-CN"/>
              </w:rPr>
              <w:t>刘某盛、吴某昆、綦某新、樊某勤、杨某、温某红、李某荣等7人全国水利监管平台显示在其他企业从业。技术负责人刘某盛全国水利监管平台显示2024年12月已从申报企业离职。不符合资质要求。</w:t>
            </w:r>
          </w:p>
        </w:tc>
      </w:tr>
      <w:tr>
        <w:trPr>
          <w:trHeight w:val="5127"/>
        </w:trPr>
        <w:tc>
          <w:tcPr>
            <w:tcW w:w="900" w:type="dxa"/>
            <w:tcBorders>
              <w:top w:val="single" w:sz="4" w:space="0" w:color="000000"/>
              <w:left w:val="single" w:sz="4" w:space="0" w:color="000000"/>
              <w:bottom w:val="single" w:sz="4" w:space="0" w:color="000000"/>
              <w:right w:val="single" w:sz="4" w:space="0" w:color="000000"/>
            </w:tcBorders>
            <w:vAlign w:val="center"/>
          </w:tcPr>
          <w:p>
            <w:pPr>
              <w:widowControl/>
              <w:numPr>
                <w:ilvl w:val="0"/>
                <w:numId w:val="1"/>
              </w:numPr>
              <w:snapToGrid w:val="0"/>
              <w:ind w:left="0" w:firstLine="0"/>
              <w:jc w:val="center"/>
              <w:textAlignment w:val="center"/>
              <w:rPr>
                <w:rFonts w:ascii="仿宋_GB2312" w:eastAsia="仿宋_GB2312" w:cs="仿宋_GB2312" w:hAnsi="仿宋_GB2312" w:hint="eastAsia"/>
                <w:bCs/>
                <w:color w:val="000000"/>
                <w:sz w:val="24"/>
                <w:szCs w:val="24"/>
              </w:rPr>
            </w:pPr>
          </w:p>
        </w:tc>
        <w:tc>
          <w:tcPr>
            <w:tcW w:w="4125"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bCs/>
                <w:color w:val="000000"/>
                <w:sz w:val="24"/>
                <w:szCs w:val="24"/>
                <w:lang w:val="en-US" w:eastAsia="zh-CN"/>
              </w:rPr>
            </w:pPr>
            <w:r>
              <w:rPr>
                <w:rFonts w:ascii="仿宋_GB2312" w:eastAsia="仿宋_GB2312" w:cs="仿宋_GB2312" w:hAnsi="仿宋_GB2312"/>
                <w:bCs/>
                <w:color w:val="000000"/>
                <w:sz w:val="24"/>
                <w:szCs w:val="24"/>
                <w:lang w:val="en-US" w:eastAsia="zh-CN"/>
              </w:rPr>
              <w:t>辽宁乾峰建筑工程有限公司</w:t>
            </w:r>
          </w:p>
        </w:tc>
        <w:tc>
          <w:tcPr>
            <w:tcW w:w="5004"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sz w:val="24"/>
                <w:szCs w:val="24"/>
              </w:rPr>
            </w:pPr>
            <w:r>
              <w:rPr>
                <w:rFonts w:ascii="仿宋_GB2312" w:eastAsia="仿宋_GB2312" w:cs="仿宋_GB2312" w:hAnsi="仿宋_GB2312" w:hint="eastAsia"/>
                <w:bCs/>
                <w:color w:val="000000"/>
                <w:sz w:val="24"/>
                <w:szCs w:val="24"/>
              </w:rPr>
              <w:t>建筑业企业资质认定（总承包特级、一级及部分专业一级除外）-资质升级-水利水电工程施工总承包二级</w:t>
            </w:r>
          </w:p>
        </w:tc>
        <w:tc>
          <w:tcPr>
            <w:tcW w:w="4026"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kern w:val="0"/>
                <w:sz w:val="24"/>
                <w:szCs w:val="24"/>
                <w:lang w:val="en-US" w:eastAsia="zh-CN"/>
              </w:rPr>
            </w:pPr>
            <w:r>
              <w:rPr>
                <w:rFonts w:ascii="仿宋_GB2312" w:eastAsia="仿宋_GB2312" w:cs="仿宋_GB2312" w:hAnsi="仿宋_GB2312" w:hint="eastAsia"/>
                <w:bCs/>
                <w:color w:val="000000"/>
                <w:kern w:val="0"/>
                <w:sz w:val="24"/>
                <w:szCs w:val="24"/>
                <w:lang w:val="en-US" w:eastAsia="zh-CN"/>
              </w:rPr>
              <w:t>全国水利监管平台无宁阳县贤村水库与月牙河水库水系连通工程登记信息且未提供业绩证明材料。</w:t>
            </w:r>
          </w:p>
          <w:p>
            <w:pPr>
              <w:widowControl/>
              <w:snapToGrid w:val="0"/>
              <w:jc w:val="left"/>
              <w:textAlignment w:val="center"/>
              <w:rPr>
                <w:rFonts w:ascii="仿宋_GB2312" w:eastAsia="仿宋_GB2312" w:cs="仿宋_GB2312" w:hAnsi="仿宋_GB2312" w:hint="eastAsia"/>
                <w:bCs/>
                <w:color w:val="000000"/>
                <w:kern w:val="0"/>
                <w:sz w:val="24"/>
                <w:szCs w:val="24"/>
                <w:lang w:val="en-US" w:eastAsia="zh-CN"/>
              </w:rPr>
            </w:pPr>
            <w:r>
              <w:rPr>
                <w:rFonts w:ascii="仿宋_GB2312" w:eastAsia="仿宋_GB2312" w:cs="仿宋_GB2312" w:hAnsi="仿宋_GB2312" w:hint="eastAsia"/>
                <w:bCs/>
                <w:color w:val="000000"/>
                <w:kern w:val="0"/>
                <w:sz w:val="24"/>
                <w:szCs w:val="24"/>
                <w:lang w:val="en-US" w:eastAsia="zh-CN"/>
              </w:rPr>
              <w:t>曹县2016年大中型水库移民后期扶持中央结余资金项目信息与全国水利监管平台登记信息不一致业绩存疑。</w:t>
            </w:r>
          </w:p>
          <w:p>
            <w:pPr>
              <w:widowControl/>
              <w:snapToGrid w:val="0"/>
              <w:jc w:val="left"/>
              <w:textAlignment w:val="center"/>
              <w:rPr>
                <w:rFonts w:ascii="仿宋_GB2312" w:eastAsia="仿宋_GB2312" w:cs="仿宋_GB2312" w:hAnsi="仿宋_GB2312" w:hint="eastAsia"/>
                <w:bCs/>
                <w:color w:val="000000"/>
                <w:kern w:val="0"/>
                <w:sz w:val="24"/>
                <w:szCs w:val="24"/>
                <w:lang w:val="en-US" w:eastAsia="zh-CN"/>
              </w:rPr>
            </w:pPr>
            <w:r>
              <w:rPr>
                <w:rFonts w:ascii="仿宋_GB2312" w:eastAsia="仿宋_GB2312" w:cs="仿宋_GB2312" w:hAnsi="仿宋_GB2312" w:hint="eastAsia"/>
                <w:bCs/>
                <w:color w:val="000000"/>
                <w:kern w:val="0"/>
                <w:sz w:val="24"/>
                <w:szCs w:val="24"/>
                <w:lang w:val="en-US" w:eastAsia="zh-CN"/>
              </w:rPr>
              <w:t>于某滨、丁某翠、杨某莉、周某英等4人全国水利监管平台显示在其他企业从业。丁某翠、王某、杨某莉、蔡某凌、张某华、周某英、于某波、张某菊、陶某杰社保校验未通过。</w:t>
            </w:r>
          </w:p>
          <w:p>
            <w:pPr>
              <w:widowControl/>
              <w:snapToGrid w:val="0"/>
              <w:jc w:val="left"/>
              <w:textAlignment w:val="center"/>
              <w:rPr>
                <w:rFonts w:ascii="仿宋_GB2312" w:eastAsia="仿宋_GB2312" w:cs="仿宋_GB2312" w:hAnsi="仿宋_GB2312" w:hint="eastAsia"/>
                <w:bCs/>
                <w:color w:val="000000"/>
                <w:kern w:val="0"/>
                <w:sz w:val="24"/>
                <w:szCs w:val="24"/>
                <w:lang w:eastAsia="zh-CN"/>
              </w:rPr>
            </w:pPr>
            <w:r>
              <w:rPr>
                <w:rFonts w:ascii="仿宋_GB2312" w:eastAsia="仿宋_GB2312" w:cs="仿宋_GB2312" w:hAnsi="仿宋_GB2312" w:hint="eastAsia"/>
                <w:bCs/>
                <w:color w:val="000000"/>
                <w:kern w:val="0"/>
                <w:sz w:val="24"/>
                <w:szCs w:val="24"/>
                <w:lang w:val="en-US" w:eastAsia="zh-CN"/>
              </w:rPr>
              <w:t>不符合资质要求。</w:t>
            </w:r>
          </w:p>
        </w:tc>
      </w:tr>
      <w:tr>
        <w:trPr>
          <w:trHeight w:val="3923"/>
        </w:trPr>
        <w:tc>
          <w:tcPr>
            <w:tcW w:w="900" w:type="dxa"/>
            <w:tcBorders>
              <w:top w:val="single" w:sz="4" w:space="0" w:color="000000"/>
              <w:left w:val="single" w:sz="4" w:space="0" w:color="000000"/>
              <w:bottom w:val="single" w:sz="4" w:space="0" w:color="000000"/>
              <w:right w:val="single" w:sz="4" w:space="0" w:color="000000"/>
            </w:tcBorders>
            <w:vAlign w:val="center"/>
          </w:tcPr>
          <w:p>
            <w:pPr>
              <w:widowControl/>
              <w:numPr>
                <w:ilvl w:val="0"/>
                <w:numId w:val="1"/>
              </w:numPr>
              <w:snapToGrid w:val="0"/>
              <w:ind w:left="0" w:firstLine="0"/>
              <w:jc w:val="center"/>
              <w:textAlignment w:val="center"/>
              <w:rPr>
                <w:rFonts w:ascii="仿宋_GB2312" w:eastAsia="仿宋_GB2312" w:cs="仿宋_GB2312" w:hAnsi="仿宋_GB2312" w:hint="eastAsia"/>
                <w:bCs/>
                <w:color w:val="000000"/>
                <w:sz w:val="24"/>
                <w:szCs w:val="24"/>
              </w:rPr>
            </w:pPr>
          </w:p>
        </w:tc>
        <w:tc>
          <w:tcPr>
            <w:tcW w:w="4125"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sz w:val="24"/>
                <w:szCs w:val="24"/>
                <w:lang w:val="en-US" w:eastAsia="zh-CN"/>
              </w:rPr>
            </w:pPr>
            <w:r>
              <w:rPr>
                <w:rFonts w:ascii="仿宋_GB2312" w:eastAsia="仿宋_GB2312" w:cs="仿宋_GB2312" w:hAnsi="仿宋_GB2312" w:hint="eastAsia"/>
                <w:bCs/>
                <w:color w:val="000000"/>
                <w:sz w:val="24"/>
                <w:szCs w:val="24"/>
                <w:lang w:val="en-US" w:eastAsia="zh-CN"/>
              </w:rPr>
              <w:fldChar w:fldCharType="begin"/>
            </w:r>
            <w:r>
              <w:instrText>HYPERLINK "https://59.197.161.2/hz_aeaa/todo/more_manage?parentlink=304B9AA0-7B24-4CA0-B4C8-1A81DBB1E6C2&amp;sonlink=B23D966E-8075-4F9A-A154-1AFF5539C047&amp;page.currentPage=4&amp;page.showCount=10"</w:instrText>
            </w:r>
            <w:r>
              <w:rPr>
                <w:rFonts w:ascii="仿宋_GB2312" w:eastAsia="仿宋_GB2312" w:cs="仿宋_GB2312" w:hAnsi="仿宋_GB2312" w:hint="eastAsia"/>
                <w:bCs/>
                <w:color w:val="000000"/>
                <w:sz w:val="24"/>
                <w:szCs w:val="24"/>
                <w:lang w:val="en-US" w:eastAsia="zh-CN"/>
              </w:rPr>
              <w:fldChar w:fldCharType="separate"/>
            </w:r>
            <w:r>
              <w:rPr>
                <w:rFonts w:ascii="仿宋_GB2312" w:eastAsia="仿宋_GB2312" w:cs="仿宋_GB2312" w:hAnsi="仿宋_GB2312" w:hint="eastAsia"/>
                <w:bCs/>
                <w:color w:val="000000"/>
                <w:sz w:val="24"/>
                <w:szCs w:val="24"/>
                <w:lang w:val="en-US" w:eastAsia="zh-CN"/>
              </w:rPr>
              <w:t>辽宁京盟建设工程有限公司</w:t>
            </w:r>
            <w:r>
              <w:rPr>
                <w:rFonts w:ascii="仿宋_GB2312" w:eastAsia="仿宋_GB2312" w:cs="仿宋_GB2312" w:hAnsi="仿宋_GB2312" w:hint="eastAsia"/>
                <w:bCs/>
                <w:color w:val="000000"/>
                <w:sz w:val="24"/>
                <w:szCs w:val="24"/>
                <w:lang w:val="en-US" w:eastAsia="zh-CN"/>
              </w:rPr>
              <w:fldChar w:fldCharType="end"/>
            </w:r>
            <w:r>
              <w:rPr>
                <w:rFonts w:ascii="仿宋_GB2312" w:eastAsia="仿宋_GB2312" w:cs="仿宋_GB2312" w:hAnsi="仿宋_GB2312" w:hint="eastAsia"/>
                <w:bCs/>
                <w:color w:val="000000"/>
                <w:sz w:val="24"/>
                <w:szCs w:val="24"/>
                <w:lang w:val="en-US" w:eastAsia="zh-CN"/>
              </w:rPr>
              <w:t> </w:t>
            </w:r>
          </w:p>
        </w:tc>
        <w:tc>
          <w:tcPr>
            <w:tcW w:w="5004"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sz w:val="24"/>
                <w:szCs w:val="24"/>
              </w:rPr>
            </w:pPr>
            <w:r>
              <w:rPr>
                <w:rFonts w:ascii="仿宋_GB2312" w:eastAsia="仿宋_GB2312" w:cs="仿宋_GB2312" w:hAnsi="仿宋_GB2312" w:hint="eastAsia"/>
                <w:bCs/>
                <w:color w:val="000000"/>
                <w:sz w:val="24"/>
                <w:szCs w:val="24"/>
              </w:rPr>
              <w:t>建筑业企业资质认定（总承包特级、一级及部分专业一级除外）-资质升级-水利水电工程施工总承包二级</w:t>
            </w:r>
          </w:p>
        </w:tc>
        <w:tc>
          <w:tcPr>
            <w:tcW w:w="4026"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kern w:val="0"/>
                <w:sz w:val="24"/>
                <w:szCs w:val="24"/>
                <w:lang w:val="en-US" w:eastAsia="zh-CN"/>
              </w:rPr>
            </w:pPr>
            <w:r>
              <w:rPr>
                <w:rFonts w:ascii="仿宋_GB2312" w:eastAsia="仿宋_GB2312" w:cs="仿宋_GB2312" w:hAnsi="仿宋_GB2312" w:hint="eastAsia"/>
                <w:bCs/>
                <w:color w:val="000000"/>
                <w:kern w:val="0"/>
                <w:sz w:val="24"/>
                <w:szCs w:val="24"/>
                <w:lang w:val="en-US" w:eastAsia="zh-CN"/>
              </w:rPr>
              <w:t>技术负责人从业经历与全国水利监管平台不一致，经历存疑。</w:t>
            </w:r>
          </w:p>
          <w:p>
            <w:pPr>
              <w:widowControl/>
              <w:snapToGrid w:val="0"/>
              <w:jc w:val="left"/>
              <w:textAlignment w:val="center"/>
              <w:rPr>
                <w:rFonts w:ascii="仿宋_GB2312" w:eastAsia="仿宋_GB2312" w:cs="仿宋_GB2312" w:hAnsi="仿宋_GB2312" w:hint="eastAsia"/>
                <w:bCs/>
                <w:color w:val="000000"/>
                <w:kern w:val="0"/>
                <w:sz w:val="24"/>
                <w:szCs w:val="24"/>
                <w:lang w:val="en-US" w:eastAsia="zh-CN"/>
              </w:rPr>
            </w:pPr>
            <w:r>
              <w:rPr>
                <w:rFonts w:ascii="仿宋_GB2312" w:eastAsia="仿宋_GB2312" w:cs="仿宋_GB2312" w:hAnsi="仿宋_GB2312" w:hint="eastAsia"/>
                <w:bCs/>
                <w:color w:val="000000"/>
                <w:kern w:val="0"/>
                <w:sz w:val="24"/>
                <w:szCs w:val="24"/>
                <w:lang w:val="en-US" w:eastAsia="zh-CN"/>
              </w:rPr>
              <w:t>北海市牛尾岭水库除险加固工程业绩证明材料中无水库坝高的技术参数，证明材料中合同与工程名称不符。该技术负责人业绩表中的从业简历与项目竣工验收时间相矛盾。</w:t>
            </w:r>
          </w:p>
          <w:p>
            <w:pPr>
              <w:widowControl/>
              <w:snapToGrid w:val="0"/>
              <w:jc w:val="left"/>
              <w:textAlignment w:val="center"/>
              <w:rPr>
                <w:rFonts w:ascii="仿宋_GB2312" w:eastAsia="仿宋_GB2312" w:cs="仿宋_GB2312" w:hAnsi="仿宋_GB2312" w:hint="eastAsia"/>
                <w:bCs/>
                <w:color w:val="000000"/>
                <w:kern w:val="0"/>
                <w:sz w:val="24"/>
                <w:szCs w:val="24"/>
                <w:lang w:val="en-US" w:eastAsia="zh-CN"/>
              </w:rPr>
            </w:pPr>
            <w:r>
              <w:rPr>
                <w:rFonts w:ascii="仿宋_GB2312" w:eastAsia="仿宋_GB2312" w:cs="仿宋_GB2312" w:hAnsi="仿宋_GB2312" w:hint="eastAsia"/>
                <w:bCs/>
                <w:color w:val="000000"/>
                <w:kern w:val="0"/>
                <w:sz w:val="24"/>
                <w:szCs w:val="24"/>
                <w:lang w:val="en-US" w:eastAsia="zh-CN"/>
              </w:rPr>
              <w:t>防城港市小峰水库除险加固工程完工鉴定书签字显示傅俊杰为项目副总，且全国水利监管平台显示该项目技术负责人为覃词，业绩存疑。</w:t>
            </w:r>
          </w:p>
          <w:p>
            <w:pPr>
              <w:widowControl/>
              <w:snapToGrid w:val="0"/>
              <w:jc w:val="left"/>
              <w:textAlignment w:val="center"/>
              <w:rPr>
                <w:rFonts w:ascii="仿宋_GB2312" w:eastAsia="仿宋_GB2312" w:cs="仿宋_GB2312" w:hAnsi="仿宋_GB2312" w:hint="eastAsia"/>
                <w:bCs/>
                <w:color w:val="000000"/>
                <w:kern w:val="0"/>
                <w:sz w:val="24"/>
                <w:szCs w:val="24"/>
                <w:lang w:val="en-US" w:eastAsia="zh-CN"/>
              </w:rPr>
            </w:pPr>
            <w:r>
              <w:rPr>
                <w:rFonts w:ascii="仿宋_GB2312" w:eastAsia="仿宋_GB2312" w:cs="仿宋_GB2312" w:hAnsi="仿宋_GB2312" w:hint="eastAsia"/>
                <w:bCs/>
                <w:color w:val="000000"/>
                <w:kern w:val="0"/>
                <w:sz w:val="24"/>
                <w:szCs w:val="24"/>
                <w:lang w:val="en-US" w:eastAsia="zh-CN"/>
              </w:rPr>
              <w:t>不符合资质要求。</w:t>
            </w:r>
          </w:p>
        </w:tc>
      </w:tr>
      <w:tr>
        <w:trPr>
          <w:trHeight w:val="3833"/>
        </w:trPr>
        <w:tc>
          <w:tcPr>
            <w:tcW w:w="900" w:type="dxa"/>
            <w:tcBorders>
              <w:top w:val="single" w:sz="4" w:space="0" w:color="000000"/>
              <w:left w:val="single" w:sz="4" w:space="0" w:color="000000"/>
              <w:bottom w:val="single" w:sz="4" w:space="0" w:color="000000"/>
              <w:right w:val="single" w:sz="4" w:space="0" w:color="000000"/>
            </w:tcBorders>
            <w:vAlign w:val="center"/>
          </w:tcPr>
          <w:p>
            <w:pPr>
              <w:widowControl/>
              <w:numPr>
                <w:ilvl w:val="0"/>
                <w:numId w:val="1"/>
              </w:numPr>
              <w:snapToGrid w:val="0"/>
              <w:ind w:left="0" w:firstLine="0"/>
              <w:jc w:val="center"/>
              <w:textAlignment w:val="center"/>
              <w:rPr>
                <w:rFonts w:ascii="仿宋_GB2312" w:eastAsia="仿宋_GB2312" w:cs="仿宋_GB2312" w:hAnsi="仿宋_GB2312" w:hint="eastAsia"/>
                <w:bCs/>
                <w:color w:val="000000"/>
                <w:sz w:val="24"/>
                <w:szCs w:val="24"/>
              </w:rPr>
            </w:pPr>
          </w:p>
        </w:tc>
        <w:tc>
          <w:tcPr>
            <w:tcW w:w="4125"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sz w:val="24"/>
                <w:szCs w:val="24"/>
                <w:lang w:val="en-US" w:eastAsia="zh-CN"/>
              </w:rPr>
            </w:pPr>
            <w:r>
              <w:rPr>
                <w:rFonts w:ascii="仿宋_GB2312" w:eastAsia="仿宋_GB2312" w:cs="仿宋_GB2312" w:hAnsi="仿宋_GB2312" w:hint="eastAsia"/>
                <w:bCs/>
                <w:color w:val="000000"/>
                <w:sz w:val="24"/>
                <w:szCs w:val="24"/>
                <w:lang w:val="en-US" w:eastAsia="zh-CN"/>
              </w:rPr>
              <w:fldChar w:fldCharType="begin"/>
            </w:r>
            <w:r>
              <w:instrText>HYPERLINK "https://59.197.161.2/hz_aeaa/todo/more_manage?parentlink=304B9AA0-7B24-4CA0-B4C8-1A81DBB1E6C2&amp;sonlink=B23D966E-8075-4F9A-A154-1AFF5539C047&amp;page.currentPage=4&amp;page.showCount=10"</w:instrText>
            </w:r>
            <w:r>
              <w:rPr>
                <w:rFonts w:ascii="仿宋_GB2312" w:eastAsia="仿宋_GB2312" w:cs="仿宋_GB2312" w:hAnsi="仿宋_GB2312" w:hint="eastAsia"/>
                <w:bCs/>
                <w:color w:val="000000"/>
                <w:sz w:val="24"/>
                <w:szCs w:val="24"/>
                <w:lang w:val="en-US" w:eastAsia="zh-CN"/>
              </w:rPr>
              <w:fldChar w:fldCharType="separate"/>
            </w:r>
            <w:r>
              <w:rPr>
                <w:rFonts w:ascii="仿宋_GB2312" w:eastAsia="仿宋_GB2312" w:cs="仿宋_GB2312" w:hAnsi="仿宋_GB2312" w:hint="eastAsia"/>
                <w:bCs/>
                <w:color w:val="000000"/>
                <w:sz w:val="24"/>
                <w:szCs w:val="24"/>
                <w:lang w:val="en-US" w:eastAsia="zh-CN"/>
              </w:rPr>
              <w:t>大连武霖建设工程有限公司</w:t>
            </w:r>
            <w:r>
              <w:rPr>
                <w:rFonts w:ascii="仿宋_GB2312" w:eastAsia="仿宋_GB2312" w:cs="仿宋_GB2312" w:hAnsi="仿宋_GB2312" w:hint="eastAsia"/>
                <w:bCs/>
                <w:color w:val="000000"/>
                <w:sz w:val="24"/>
                <w:szCs w:val="24"/>
                <w:lang w:val="en-US" w:eastAsia="zh-CN"/>
              </w:rPr>
              <w:fldChar w:fldCharType="end"/>
            </w:r>
          </w:p>
        </w:tc>
        <w:tc>
          <w:tcPr>
            <w:tcW w:w="5004"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sz w:val="24"/>
                <w:szCs w:val="24"/>
              </w:rPr>
            </w:pPr>
            <w:r>
              <w:rPr>
                <w:rFonts w:ascii="仿宋_GB2312" w:eastAsia="仿宋_GB2312" w:cs="仿宋_GB2312" w:hAnsi="仿宋_GB2312" w:hint="eastAsia"/>
                <w:bCs/>
                <w:color w:val="000000"/>
                <w:sz w:val="24"/>
                <w:szCs w:val="24"/>
              </w:rPr>
              <w:t>建筑业企业资质认定（总承包特级、一级及部分专业一级除外）-资质升级-水利水电工程施工总承包二级</w:t>
            </w:r>
          </w:p>
        </w:tc>
        <w:tc>
          <w:tcPr>
            <w:tcW w:w="4026"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kern w:val="0"/>
                <w:sz w:val="24"/>
                <w:szCs w:val="24"/>
                <w:lang w:val="en-US" w:eastAsia="zh-CN"/>
              </w:rPr>
            </w:pPr>
            <w:r>
              <w:rPr>
                <w:rFonts w:ascii="仿宋_GB2312" w:eastAsia="仿宋_GB2312" w:cs="仿宋_GB2312" w:hAnsi="仿宋_GB2312" w:hint="eastAsia"/>
                <w:bCs/>
                <w:color w:val="000000"/>
                <w:kern w:val="0"/>
                <w:sz w:val="24"/>
                <w:szCs w:val="24"/>
                <w:lang w:val="en-US" w:eastAsia="zh-CN"/>
              </w:rPr>
              <w:t>建造师徐某宝专业非水利水电工程。</w:t>
            </w:r>
          </w:p>
          <w:p>
            <w:pPr>
              <w:widowControl/>
              <w:snapToGrid w:val="0"/>
              <w:jc w:val="left"/>
              <w:textAlignment w:val="center"/>
              <w:rPr>
                <w:rFonts w:ascii="仿宋_GB2312" w:eastAsia="仿宋_GB2312" w:cs="仿宋_GB2312" w:hAnsi="仿宋_GB2312" w:hint="eastAsia"/>
                <w:bCs/>
                <w:color w:val="000000"/>
                <w:kern w:val="0"/>
                <w:sz w:val="24"/>
                <w:szCs w:val="24"/>
                <w:lang w:val="en-US" w:eastAsia="zh-CN"/>
              </w:rPr>
            </w:pPr>
            <w:r>
              <w:rPr>
                <w:rFonts w:ascii="仿宋_GB2312" w:eastAsia="仿宋_GB2312" w:cs="仿宋_GB2312" w:hAnsi="仿宋_GB2312" w:hint="eastAsia"/>
                <w:bCs/>
                <w:color w:val="000000"/>
                <w:kern w:val="0"/>
                <w:sz w:val="24"/>
                <w:szCs w:val="24"/>
                <w:lang w:val="en-US" w:eastAsia="zh-CN"/>
              </w:rPr>
              <w:t>荆某英、梁某跃、解某、蒙某杰等4人全国水利监管平台显示在其他企业从业。</w:t>
            </w:r>
          </w:p>
          <w:p>
            <w:pPr>
              <w:widowControl/>
              <w:snapToGrid w:val="0"/>
              <w:jc w:val="left"/>
              <w:textAlignment w:val="center"/>
              <w:rPr>
                <w:rFonts w:ascii="仿宋_GB2312" w:eastAsia="仿宋_GB2312" w:cs="仿宋_GB2312" w:hAnsi="仿宋_GB2312" w:hint="eastAsia"/>
                <w:bCs/>
                <w:color w:val="000000"/>
                <w:kern w:val="0"/>
                <w:sz w:val="24"/>
                <w:szCs w:val="24"/>
                <w:lang w:val="en-US" w:eastAsia="zh-CN"/>
              </w:rPr>
            </w:pPr>
            <w:r>
              <w:rPr>
                <w:rFonts w:ascii="仿宋_GB2312" w:eastAsia="仿宋_GB2312" w:cs="仿宋_GB2312" w:hAnsi="仿宋_GB2312" w:hint="eastAsia"/>
                <w:bCs/>
                <w:color w:val="000000"/>
                <w:kern w:val="0"/>
                <w:sz w:val="24"/>
                <w:szCs w:val="24"/>
                <w:lang w:val="en-US" w:eastAsia="zh-CN"/>
              </w:rPr>
              <w:t>业绩1、2全国水利监管平台均无登记信息且未提供业绩证明材料。全国水利监管平台显示2018.5-2024.5期间，技术负责人在德惠市水利水电工程有限公司任职，与该业绩存在矛盾。</w:t>
            </w:r>
          </w:p>
          <w:p>
            <w:pPr>
              <w:widowControl/>
              <w:snapToGrid w:val="0"/>
              <w:jc w:val="left"/>
              <w:textAlignment w:val="center"/>
              <w:rPr>
                <w:rFonts w:ascii="仿宋_GB2312" w:eastAsia="仿宋_GB2312" w:cs="仿宋_GB2312" w:hAnsi="仿宋_GB2312" w:hint="eastAsia"/>
                <w:bCs/>
                <w:color w:val="000000"/>
                <w:kern w:val="0"/>
                <w:sz w:val="24"/>
                <w:szCs w:val="24"/>
                <w:lang w:val="en-US" w:eastAsia="zh-CN"/>
              </w:rPr>
            </w:pPr>
            <w:r>
              <w:rPr>
                <w:rFonts w:ascii="仿宋_GB2312" w:eastAsia="仿宋_GB2312" w:cs="仿宋_GB2312" w:hAnsi="仿宋_GB2312" w:hint="eastAsia"/>
                <w:bCs/>
                <w:color w:val="000000"/>
                <w:kern w:val="0"/>
                <w:sz w:val="24"/>
                <w:szCs w:val="24"/>
                <w:lang w:val="en-US" w:eastAsia="zh-CN"/>
              </w:rPr>
              <w:t>不符合资质要求。</w:t>
            </w:r>
          </w:p>
        </w:tc>
      </w:tr>
      <w:tr>
        <w:trPr>
          <w:trHeight w:val="2962"/>
        </w:trPr>
        <w:tc>
          <w:tcPr>
            <w:tcW w:w="900" w:type="dxa"/>
            <w:tcBorders>
              <w:top w:val="single" w:sz="4" w:space="0" w:color="000000"/>
              <w:left w:val="single" w:sz="4" w:space="0" w:color="000000"/>
              <w:bottom w:val="single" w:sz="4" w:space="0" w:color="000000"/>
              <w:right w:val="single" w:sz="4" w:space="0" w:color="000000"/>
            </w:tcBorders>
            <w:vAlign w:val="center"/>
          </w:tcPr>
          <w:p>
            <w:pPr>
              <w:widowControl/>
              <w:numPr>
                <w:ilvl w:val="0"/>
                <w:numId w:val="1"/>
              </w:numPr>
              <w:snapToGrid w:val="0"/>
              <w:ind w:left="0" w:firstLine="0"/>
              <w:jc w:val="center"/>
              <w:textAlignment w:val="center"/>
              <w:rPr>
                <w:rFonts w:ascii="仿宋_GB2312" w:eastAsia="仿宋_GB2312" w:cs="仿宋_GB2312" w:hAnsi="仿宋_GB2312" w:hint="eastAsia"/>
                <w:bCs/>
                <w:color w:val="000000"/>
                <w:sz w:val="24"/>
                <w:szCs w:val="24"/>
              </w:rPr>
            </w:pPr>
          </w:p>
        </w:tc>
        <w:tc>
          <w:tcPr>
            <w:tcW w:w="4125"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sz w:val="24"/>
                <w:szCs w:val="24"/>
                <w:lang w:val="en-US" w:eastAsia="zh-CN"/>
              </w:rPr>
            </w:pPr>
            <w:r>
              <w:rPr>
                <w:rFonts w:ascii="仿宋_GB2312" w:eastAsia="仿宋_GB2312" w:cs="仿宋_GB2312" w:hAnsi="仿宋_GB2312" w:hint="eastAsia"/>
                <w:bCs/>
                <w:color w:val="000000"/>
                <w:sz w:val="24"/>
                <w:szCs w:val="24"/>
                <w:lang w:val="en-US" w:eastAsia="zh-CN"/>
              </w:rPr>
              <w:fldChar w:fldCharType="begin"/>
            </w:r>
            <w:r>
              <w:instrText>HYPERLINK "https://59.197.161.2/hz_aeaa/todo/more_manage?parentlink=304B9AA0-7B24-4CA0-B4C8-1A81DBB1E6C2&amp;sonlink=B23D966E-8075-4F9A-A154-1AFF5539C047&amp;page.currentPage=4&amp;page.showCount=10"</w:instrText>
            </w:r>
            <w:r>
              <w:rPr>
                <w:rFonts w:ascii="仿宋_GB2312" w:eastAsia="仿宋_GB2312" w:cs="仿宋_GB2312" w:hAnsi="仿宋_GB2312" w:hint="eastAsia"/>
                <w:bCs/>
                <w:color w:val="000000"/>
                <w:sz w:val="24"/>
                <w:szCs w:val="24"/>
                <w:lang w:val="en-US" w:eastAsia="zh-CN"/>
              </w:rPr>
              <w:fldChar w:fldCharType="separate"/>
            </w:r>
            <w:r>
              <w:rPr>
                <w:rFonts w:ascii="仿宋_GB2312" w:eastAsia="仿宋_GB2312" w:cs="仿宋_GB2312" w:hAnsi="仿宋_GB2312" w:hint="eastAsia"/>
                <w:bCs/>
                <w:color w:val="000000"/>
                <w:sz w:val="24"/>
                <w:szCs w:val="24"/>
                <w:lang w:val="en-US" w:eastAsia="zh-CN"/>
              </w:rPr>
              <w:t>丹东东利路桥工程有限公司</w:t>
            </w:r>
            <w:r>
              <w:rPr>
                <w:rFonts w:ascii="仿宋_GB2312" w:eastAsia="仿宋_GB2312" w:cs="仿宋_GB2312" w:hAnsi="仿宋_GB2312" w:hint="eastAsia"/>
                <w:bCs/>
                <w:color w:val="000000"/>
                <w:sz w:val="24"/>
                <w:szCs w:val="24"/>
                <w:lang w:val="en-US" w:eastAsia="zh-CN"/>
              </w:rPr>
              <w:fldChar w:fldCharType="end"/>
            </w:r>
          </w:p>
        </w:tc>
        <w:tc>
          <w:tcPr>
            <w:tcW w:w="5004"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sz w:val="24"/>
                <w:szCs w:val="24"/>
              </w:rPr>
            </w:pPr>
            <w:r>
              <w:rPr>
                <w:rFonts w:ascii="仿宋_GB2312" w:eastAsia="仿宋_GB2312" w:cs="仿宋_GB2312" w:hAnsi="仿宋_GB2312" w:hint="eastAsia"/>
                <w:bCs/>
                <w:color w:val="000000"/>
                <w:sz w:val="24"/>
                <w:szCs w:val="24"/>
              </w:rPr>
              <w:t>建筑业企业资质认定（总承包特级、一级及部分专业一级除外）-资质升级-水利水电工程施工总承包二级</w:t>
            </w:r>
          </w:p>
        </w:tc>
        <w:tc>
          <w:tcPr>
            <w:tcW w:w="4026"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kern w:val="0"/>
                <w:sz w:val="24"/>
                <w:szCs w:val="24"/>
                <w:lang w:val="en-US" w:eastAsia="zh-CN"/>
              </w:rPr>
            </w:pPr>
            <w:r>
              <w:rPr>
                <w:rFonts w:ascii="仿宋_GB2312" w:eastAsia="仿宋_GB2312" w:cs="仿宋_GB2312" w:hAnsi="仿宋_GB2312" w:hint="eastAsia"/>
                <w:bCs/>
                <w:color w:val="000000"/>
                <w:kern w:val="0"/>
                <w:sz w:val="24"/>
                <w:szCs w:val="24"/>
                <w:lang w:val="en-US" w:eastAsia="zh-CN"/>
              </w:rPr>
              <w:t>符合资质要求。</w:t>
            </w:r>
          </w:p>
        </w:tc>
      </w:tr>
      <w:tr>
        <w:trPr>
          <w:trHeight w:val="2962"/>
        </w:trPr>
        <w:tc>
          <w:tcPr>
            <w:tcW w:w="900" w:type="dxa"/>
            <w:tcBorders>
              <w:top w:val="single" w:sz="4" w:space="0" w:color="000000"/>
              <w:left w:val="single" w:sz="4" w:space="0" w:color="000000"/>
              <w:bottom w:val="single" w:sz="4" w:space="0" w:color="000000"/>
              <w:right w:val="single" w:sz="4" w:space="0" w:color="000000"/>
            </w:tcBorders>
            <w:vAlign w:val="center"/>
          </w:tcPr>
          <w:p>
            <w:pPr>
              <w:widowControl/>
              <w:numPr>
                <w:ilvl w:val="0"/>
                <w:numId w:val="1"/>
              </w:numPr>
              <w:snapToGrid w:val="0"/>
              <w:ind w:left="0" w:firstLine="0"/>
              <w:jc w:val="center"/>
              <w:textAlignment w:val="center"/>
              <w:rPr>
                <w:rFonts w:ascii="仿宋_GB2312" w:eastAsia="仿宋_GB2312" w:cs="仿宋_GB2312" w:hAnsi="仿宋_GB2312" w:hint="eastAsia"/>
                <w:bCs/>
                <w:color w:val="000000"/>
                <w:sz w:val="24"/>
                <w:szCs w:val="24"/>
              </w:rPr>
            </w:pPr>
          </w:p>
        </w:tc>
        <w:tc>
          <w:tcPr>
            <w:tcW w:w="4125"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sz w:val="24"/>
                <w:szCs w:val="24"/>
                <w:lang w:val="en-US" w:eastAsia="zh-CN"/>
              </w:rPr>
            </w:pPr>
            <w:r>
              <w:rPr>
                <w:rFonts w:ascii="仿宋_GB2312" w:eastAsia="仿宋_GB2312" w:cs="仿宋_GB2312" w:hAnsi="仿宋_GB2312" w:hint="eastAsia"/>
                <w:bCs/>
                <w:color w:val="000000"/>
                <w:sz w:val="24"/>
                <w:szCs w:val="24"/>
                <w:lang w:val="en-US" w:eastAsia="zh-CN"/>
              </w:rPr>
              <w:fldChar w:fldCharType="begin"/>
            </w:r>
            <w:r>
              <w:instrText>HYPERLINK "https://59.197.161.2/hz_aeaa/todo/more_manage?parentlink=304B9AA0-7B24-4CA0-B4C8-1A81DBB1E6C2&amp;sonlink=B23D966E-8075-4F9A-A154-1AFF5539C047&amp;page.currentPage=4&amp;page.showCount=10"</w:instrText>
            </w:r>
            <w:r>
              <w:rPr>
                <w:rFonts w:ascii="仿宋_GB2312" w:eastAsia="仿宋_GB2312" w:cs="仿宋_GB2312" w:hAnsi="仿宋_GB2312" w:hint="eastAsia"/>
                <w:bCs/>
                <w:color w:val="000000"/>
                <w:sz w:val="24"/>
                <w:szCs w:val="24"/>
                <w:lang w:val="en-US" w:eastAsia="zh-CN"/>
              </w:rPr>
              <w:fldChar w:fldCharType="separate"/>
            </w:r>
            <w:r>
              <w:rPr>
                <w:rFonts w:ascii="仿宋_GB2312" w:eastAsia="仿宋_GB2312" w:cs="仿宋_GB2312" w:hAnsi="仿宋_GB2312" w:hint="eastAsia"/>
                <w:bCs/>
                <w:color w:val="000000"/>
                <w:sz w:val="24"/>
                <w:szCs w:val="24"/>
                <w:lang w:val="en-US" w:eastAsia="zh-CN"/>
              </w:rPr>
              <w:t>辽宁同鑫建设有限公司</w:t>
            </w:r>
            <w:r>
              <w:rPr>
                <w:rFonts w:ascii="仿宋_GB2312" w:eastAsia="仿宋_GB2312" w:cs="仿宋_GB2312" w:hAnsi="仿宋_GB2312" w:hint="eastAsia"/>
                <w:bCs/>
                <w:color w:val="000000"/>
                <w:sz w:val="24"/>
                <w:szCs w:val="24"/>
                <w:lang w:val="en-US" w:eastAsia="zh-CN"/>
              </w:rPr>
              <w:fldChar w:fldCharType="end"/>
            </w:r>
          </w:p>
        </w:tc>
        <w:tc>
          <w:tcPr>
            <w:tcW w:w="5004"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sz w:val="24"/>
                <w:szCs w:val="24"/>
              </w:rPr>
            </w:pPr>
            <w:r>
              <w:rPr>
                <w:rFonts w:ascii="仿宋_GB2312" w:eastAsia="仿宋_GB2312" w:cs="仿宋_GB2312" w:hAnsi="仿宋_GB2312" w:hint="eastAsia"/>
                <w:bCs/>
                <w:color w:val="000000"/>
                <w:sz w:val="24"/>
                <w:szCs w:val="24"/>
              </w:rPr>
              <w:t>建筑业企业资质认定（总承包特级、一级及部分专业一级除外）-资质升级-水利水电工程施工总承包二级</w:t>
            </w:r>
          </w:p>
        </w:tc>
        <w:tc>
          <w:tcPr>
            <w:tcW w:w="4026"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kern w:val="0"/>
                <w:sz w:val="24"/>
                <w:szCs w:val="24"/>
                <w:lang w:val="en-US" w:eastAsia="zh-CN"/>
              </w:rPr>
            </w:pPr>
            <w:r>
              <w:rPr>
                <w:rFonts w:ascii="仿宋_GB2312" w:eastAsia="仿宋_GB2312" w:cs="仿宋_GB2312" w:hAnsi="仿宋_GB2312" w:hint="eastAsia"/>
                <w:bCs/>
                <w:color w:val="000000"/>
                <w:kern w:val="0"/>
                <w:sz w:val="24"/>
                <w:szCs w:val="24"/>
                <w:lang w:val="en-US" w:eastAsia="zh-CN"/>
              </w:rPr>
              <w:t>业绩1、2全国水利监管平台均无登记信息且未提供业绩证明材料。</w:t>
            </w:r>
          </w:p>
          <w:p>
            <w:pPr>
              <w:widowControl/>
              <w:snapToGrid w:val="0"/>
              <w:jc w:val="left"/>
              <w:textAlignment w:val="center"/>
              <w:rPr>
                <w:rFonts w:ascii="仿宋_GB2312" w:eastAsia="仿宋_GB2312" w:cs="仿宋_GB2312" w:hAnsi="仿宋_GB2312" w:hint="eastAsia"/>
                <w:bCs/>
                <w:color w:val="000000"/>
                <w:kern w:val="0"/>
                <w:sz w:val="24"/>
                <w:szCs w:val="24"/>
                <w:lang w:val="en-US" w:eastAsia="zh-CN"/>
              </w:rPr>
            </w:pPr>
            <w:r>
              <w:rPr>
                <w:rFonts w:ascii="仿宋_GB2312" w:eastAsia="仿宋_GB2312" w:cs="仿宋_GB2312" w:hAnsi="仿宋_GB2312" w:hint="eastAsia"/>
                <w:bCs/>
                <w:color w:val="000000"/>
                <w:kern w:val="0"/>
                <w:sz w:val="24"/>
                <w:szCs w:val="24"/>
                <w:lang w:val="en-US" w:eastAsia="zh-CN"/>
              </w:rPr>
              <w:t>刘某、刘某香、荣某、吴某、徐某华5人社保校核未通过。刘某、刘某香、荣某等3人全国水利监管平台显示在其他单位任职。</w:t>
            </w:r>
          </w:p>
          <w:p>
            <w:pPr>
              <w:widowControl/>
              <w:snapToGrid w:val="0"/>
              <w:jc w:val="left"/>
              <w:textAlignment w:val="center"/>
              <w:rPr>
                <w:rFonts w:ascii="仿宋_GB2312" w:eastAsia="仿宋_GB2312" w:cs="仿宋_GB2312" w:hAnsi="仿宋_GB2312" w:hint="eastAsia"/>
                <w:bCs/>
                <w:color w:val="000000"/>
                <w:kern w:val="0"/>
                <w:sz w:val="24"/>
                <w:szCs w:val="24"/>
                <w:lang w:val="en-US" w:eastAsia="zh-CN"/>
              </w:rPr>
            </w:pPr>
            <w:r>
              <w:rPr>
                <w:rFonts w:ascii="仿宋_GB2312" w:eastAsia="仿宋_GB2312" w:cs="仿宋_GB2312" w:hAnsi="仿宋_GB2312" w:hint="eastAsia"/>
                <w:bCs/>
                <w:color w:val="000000"/>
                <w:kern w:val="0"/>
                <w:sz w:val="24"/>
                <w:szCs w:val="24"/>
                <w:lang w:val="en-US" w:eastAsia="zh-CN"/>
              </w:rPr>
              <w:t>不符合资质要求。</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pPr>
    </w:p>
    <w:sectPr>
      <w:footerReference w:type="default" r:id="rId2"/>
      <w:pgSz w:w="16838" w:h="11906" w:orient="landscape"/>
      <w:pgMar w:top="1746" w:right="1440" w:bottom="1449" w:left="1440" w:header="851" w:footer="992" w:gutter="0"/>
      <w:pgNumType w:start="2"/>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方正书宋_GBK"/>
    <w:panose1 w:val="02010600030101010101"/>
    <w:charset w:val="86"/>
    <w:family w:val="auto"/>
    <w:pitch w:val="variable"/>
    <w:sig w:usb0="00000003" w:usb1="288F0000" w:usb2="00000006" w:usb3="00000000" w:csb0="00040001" w:csb1="00000000"/>
  </w:font>
  <w:font w:name="楷体">
    <w:altName w:val="方正楷体_GBK"/>
    <w:panose1 w:val="02010609060101010101"/>
    <w:charset w:val="86"/>
    <w:family w:val="auto"/>
    <w:pitch w:val="variable"/>
    <w:sig w:usb0="800002BF" w:usb1="38CF7CFA" w:usb2="00000016" w:usb3="00000000" w:csb0="00040001" w:csb1="00000000"/>
  </w:font>
  <w:font w:name="仿宋_GB2312">
    <w:altName w:val="方正仿宋_GBK"/>
    <w:panose1 w:val="02010609030101010101"/>
    <w:charset w:val="86"/>
    <w:family w:val="auto"/>
    <w:pitch w:val="variable"/>
    <w:sig w:usb0="00000001" w:usb1="080E0000" w:usb2="00000000" w:usb3="00000000" w:csb0="00040000" w:csb1="00000000"/>
  </w:font>
  <w:font w:name="Times New Roman">
    <w:altName w:val="DejaVu Sans"/>
    <w:panose1 w:val="02020603050405020304"/>
    <w:charset w:val="00"/>
    <w:family w:val="roman"/>
    <w:pitch w:val="variable"/>
    <w:sig w:usb0="20007A87" w:usb1="80000000" w:usb2="00000008" w:usb3="00000000" w:csb0="000001FF" w:csb1="00000000"/>
  </w:font>
  <w:font w:name="Lucida Sans">
    <w:altName w:val="DejaVu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E00002FF" w:usb1="4000ACFF" w:usb2="00000001" w:usb3="00000000" w:csb0="2000019F" w:csb1="00000000"/>
  </w:font>
  <w:font w:name="文泉驿正黑">
    <w:panose1 w:val="02000603000000000000"/>
    <w:charset w:val="86"/>
    <w:family w:val="script"/>
    <w:pitch w:val="variable"/>
    <w:sig w:usb0="900002BF" w:usb1="2BDF7DFB" w:usb2="00000036" w:usb3="00000000" w:csb0="603E000D" w:csb1="D2D70000"/>
  </w:font>
  <w:font w:name="黑体">
    <w:altName w:val="方正黑体_GBK"/>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r>
      <w:rPr>
        <w:sz w:val="18"/>
      </w:rP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76198" cy="133159"/>
              <wp:effectExtent l="0" t="0" r="0" b="0"/>
              <wp:wrapNone/>
              <wp:docPr id="1" name="文本框 1"/>
              <wp:cNvGraphicFramePr>
                <a:graphicFrameLocks noChangeAspect="0"/>
              </wp:cNvGraphicFramePr>
              <a:graphic>
                <a:graphicData uri="http://schemas.microsoft.com/office/word/2010/wordprocessingShape">
                  <wps:wsp>
                    <wps:cNvSpPr/>
                    <wps:spPr>
                      <a:xfrm rot="0">
                        <a:off x="0" y="0"/>
                        <a:ext cx="76198" cy="133159"/>
                      </a:xfrm>
                      <a:prstGeom prst="rect"/>
                      <a:noFill/>
                      <a:ln w="6350" cmpd="sng" cap="flat">
                        <a:noFill/>
                        <a:prstDash val="solid"/>
                        <a:round/>
                      </a:ln>
                    </wps:spPr>
                    <wps:txbx id="2">
                      <w:txbxContent>
                        <w:p>
                          <w:pPr>
                            <w:snapToGrid w:val="0"/>
                            <w:rPr>
                              <w:rFonts w:eastAsia="宋体"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shape type="#_x0000_t202" id="文本框 1 3" o:spid="_x0000_s3" filled="f" stroked="f" strokeweight="0.5pt" style="position:absolute;margin-left:0.0pt;margin-top:0.0pt;width:5.9999084pt;height:10.484998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snapToGrid w:val="0"/>
                      <w:rPr>
                        <w:rFonts w:eastAsia="宋体" w:hint="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FFEF16F6"/>
    <w:multiLevelType w:val="singleLevel"/>
    <w:tmpl w:val="FFEF16F6"/>
    <w:lvl w:ilvl="0">
      <w:start w:val="1"/>
      <w:numFmt w:val="decimal"/>
      <w:lvlRestart w:val="0"/>
      <w:suff w:val="nothing"/>
      <w:lvlText w:val="%1"/>
      <w:lvlJc w:val="left"/>
      <w:pPr>
        <w:ind w:left="0" w:firstLine="397"/>
      </w:pPr>
      <w:rPr>
        <w:rFonts w:ascii="宋体" w:hAnsi="宋体" w:hint="default"/>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doNotExpandShiftReturn/>
    <w:adjustLineHeightInTable/>
    <w:doNotUseIndentAsNumberingTabStop/>
    <w:useAltKinsokuLineBreakRules/>
    <w:compatSetting w:name="compatibilityMode" w:uri="http://schemas.microsoft.com/office/word" w:val="14"/>
  </w:compat>
  <w:docVars>
    <w:docVar w:name="commondata" w:val="eyJoZGlkIjoiMzEwNTM5NzYwMDRjMzkwZTVkZjY2ODkwMGIxNGU0OTU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文泉驿正黑" w:eastAsia="黑体" w:hAnsi="文泉驿正黑"/>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rPr>
  </w:style>
  <w:style w:type="paragraph" w:styleId="16">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character" w:styleId="17">
    <w:name w:val="Hyperlink"/>
    <w:basedOn w:val="10"/>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CB85C380-E1EA-4AA2-8F56-8924A5065C73}">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5</Pages>
  <Words>0</Words>
  <Characters>950</Characters>
  <Lines>0</Lines>
  <Paragraphs>3</Paragraphs>
  <CharactersWithSpaces>1267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PPP</cp:lastModifiedBy>
  <cp:revision>1</cp:revision>
  <cp:lastPrinted>2023-12-18T03:13:00Z</cp:lastPrinted>
  <dcterms:created xsi:type="dcterms:W3CDTF">2023-07-21T06:26:00Z</dcterms:created>
  <dcterms:modified xsi:type="dcterms:W3CDTF">2025-03-28T07:19:21Z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2052-10.8.0.5988</vt:lpwstr>
  </property>
  <property fmtid="{D5CDD505-2E9C-101B-9397-08002B2CF9AE}" pid="3" name="ICV">
    <vt:lpwstr>3C7C3023F56E47BB8FBFE55586A3C052_13</vt:lpwstr>
  </property>
</Properties>
</file>